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詹钛期：夯实、做好、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争优三步曲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2023年，团委继续以党的二十大及校第一次党代会会议精神为引领，全面贯彻党的教育方针,奋力奔向学校“1531”战略目标，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有序有力推进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衡阳幼儿师专共青团事业发展，落实立德树人根本任务。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一、打铁仍需自身硬，夯实常规性工作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1.队伍建设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建立严格的选拔机制、合适的奖惩机制、有效的培训机制，设置意见箱，有效监督团学学生工作人员工作，每期述职1-2次。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2.推优工作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充分发挥“推优”激励机制，做好推优入团、配合组织人事处推优入党，优化团员结构，做到底数清、实数明。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3.志愿服务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指导校青年志愿者总会开展各项志愿服务活动，举办业务素质培训及志愿知识竞赛，走进社区、走向社会、服务群众，力争树典型、创品牌。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4.社会实践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采取学校组织和班级、学生自行联系等多种形式进行，把各项社会实践融入社会实践课程中，实现学校教育和社会教育有机结合。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5.就业结对帮扶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按照团省委“共青团促进大学生就业行动”要求，在我校迎来第一届大专毕业生之际，与招生就业处通力合作，力保完成至少30个指标。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二、凸显本色有力量，做好群团基础性工作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1.提升团课质量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围绕习近平新时代中国特色社会主义思想的学习宣传，组织好“青年大学习”、“网络青马工程”等主题团课，争推省“青马”优秀学员。抓住节庆日、纪念日和重大活动等契机，举办系列主题活动，创造良好的理论学习环境，注入青春元素，让理论学习生动起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2.加强制度建设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查漏补缺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、修订完善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各项校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、系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团学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制度，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细化至学生部门、学生社团、青年志愿者等规章制度，建立团总支、团委二级管理体系，完善校团委工作架构，落实配备专（兼职）工作人员，设置相关学生部门，确保学校团学正常有序开展。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三、亮出青春靓丽底色，争优创新特色品牌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打造校园文化品牌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形成结构合理、种类丰富、充满活力的社团格局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年内</w:t>
      </w:r>
      <w:r>
        <w:rPr>
          <w:rFonts w:hint="eastAsia" w:ascii="仿宋" w:hAnsi="仿宋" w:eastAsia="仿宋" w:cs="仿宋"/>
          <w:sz w:val="32"/>
          <w:szCs w:val="32"/>
        </w:rPr>
        <w:t>实现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平均</w:t>
      </w:r>
      <w:r>
        <w:rPr>
          <w:rFonts w:hint="eastAsia" w:ascii="仿宋" w:hAnsi="仿宋" w:eastAsia="仿宋" w:cs="仿宋"/>
          <w:sz w:val="32"/>
          <w:szCs w:val="32"/>
        </w:rPr>
        <w:t>每生在校期间至少参加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个社团，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初步完成2个品牌社团的建设与校外交流，利用校外资源与条件做到优势互补、资源共享的效果。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扩大团属新媒体影响力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56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打造衡阳幼儿师专“幼团团”特色新媒体平台，唱响主旋律、壮大正能量。校团委目前主要依托的新媒体平台是微信公众号和短视频，微信公众号关注人数为2996人，阅读总量8975人次，抖音关注人数为1720人。力争在2023年关注人数突破8000，公众号阅读量突破2万，抖音粉丝量突破5000人次。提升作品质量，抢占思想阵地，力争成为宣传校园文化的热门阵地。</w:t>
      </w:r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41B004-637E-41E6-BA3F-7D0F7ED38E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30B0FE8-E715-494B-B301-4117D488289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EF37E4F-9583-482E-BE24-F1FE5D1B4B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4N2QzM2RiYTgwZjI5YzZmMGNiY2UxMTBjNzY2NWMifQ=="/>
  </w:docVars>
  <w:rsids>
    <w:rsidRoot w:val="00000000"/>
    <w:rsid w:val="50CD4C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961</Words>
  <Characters>997</Characters>
  <Lines>0</Lines>
  <Paragraphs>0</Paragraphs>
  <TotalTime>0</TotalTime>
  <ScaleCrop>false</ScaleCrop>
  <LinksUpToDate>false</LinksUpToDate>
  <CharactersWithSpaces>999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2023-01-10T03:37:00Z</dcterms:created>
  <dc:creator>团委詹钛期</dc:creator>
  <cp:lastModifiedBy>Administrator</cp:lastModifiedBy>
  <dcterms:modified xsi:type="dcterms:W3CDTF">2023-02-08T12:34:20Z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53689E49A9FB44269B9DE6079EF82B06</vt:lpwstr>
  </property>
</Properties>
</file>